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4E" w:rsidRDefault="00544D2C" w:rsidP="003F5FEE">
      <w:pPr>
        <w:spacing w:line="240" w:lineRule="auto"/>
        <w:rPr>
          <w:rFonts w:ascii="Impact" w:hAnsi="Impact"/>
          <w:sz w:val="44"/>
        </w:rPr>
        <w:sectPr w:rsidR="00C0154E" w:rsidSect="00C0154E">
          <w:footerReference w:type="default" r:id="rId8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bookmarkStart w:id="0" w:name="_GoBack"/>
      <w:bookmarkEnd w:id="0"/>
      <w:r w:rsidRPr="00E51E5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1118574">
            <wp:simplePos x="0" y="0"/>
            <wp:positionH relativeFrom="column">
              <wp:posOffset>2178050</wp:posOffset>
            </wp:positionH>
            <wp:positionV relativeFrom="paragraph">
              <wp:posOffset>1616075</wp:posOffset>
            </wp:positionV>
            <wp:extent cx="2333625" cy="728980"/>
            <wp:effectExtent l="0" t="0" r="9525" b="0"/>
            <wp:wrapThrough wrapText="bothSides">
              <wp:wrapPolygon edited="0">
                <wp:start x="1940" y="0"/>
                <wp:lineTo x="0" y="2822"/>
                <wp:lineTo x="0" y="14676"/>
                <wp:lineTo x="529" y="18063"/>
                <wp:lineTo x="1763" y="20885"/>
                <wp:lineTo x="1940" y="20885"/>
                <wp:lineTo x="4761" y="20885"/>
                <wp:lineTo x="4937" y="20885"/>
                <wp:lineTo x="5995" y="18063"/>
                <wp:lineTo x="21512" y="16369"/>
                <wp:lineTo x="21512" y="5080"/>
                <wp:lineTo x="18691" y="3951"/>
                <wp:lineTo x="4761" y="0"/>
                <wp:lineTo x="194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B0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37865" wp14:editId="0CDEC0D1">
                <wp:simplePos x="0" y="0"/>
                <wp:positionH relativeFrom="column">
                  <wp:posOffset>-441325</wp:posOffset>
                </wp:positionH>
                <wp:positionV relativeFrom="paragraph">
                  <wp:posOffset>3071495</wp:posOffset>
                </wp:positionV>
                <wp:extent cx="7562850" cy="62484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FEE" w:rsidRPr="003F5FEE" w:rsidRDefault="003F5FEE" w:rsidP="003F5F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18"/>
                              </w:rPr>
                            </w:pPr>
                          </w:p>
                          <w:p w:rsidR="003F5FEE" w:rsidRP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  <w:t xml:space="preserve">İDARİ VE MALİ İŞLER </w:t>
                            </w:r>
                          </w:p>
                          <w:p w:rsidR="003F5FEE" w:rsidRP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  <w:t>DAİRE BAŞKANLIĞI</w:t>
                            </w:r>
                          </w:p>
                          <w:p w:rsid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</w:p>
                          <w:p w:rsidR="003F5FEE" w:rsidRP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</w:p>
                          <w:p w:rsidR="003F5FEE" w:rsidRP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  <w:t>RİSK DEĞERLENDİRMESİ</w:t>
                            </w:r>
                          </w:p>
                          <w:p w:rsidR="003F5FEE" w:rsidRP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  <w:t>DÖKÜMANI</w:t>
                            </w:r>
                          </w:p>
                          <w:p w:rsid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3F5FEE" w:rsidRP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18"/>
                              </w:rPr>
                              <w:t>2022</w:t>
                            </w:r>
                          </w:p>
                          <w:p w:rsidR="003F5FEE" w:rsidRPr="003F5FEE" w:rsidRDefault="003F5FEE" w:rsidP="003F5F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72"/>
                                <w:szCs w:val="18"/>
                              </w:rPr>
                            </w:pPr>
                          </w:p>
                          <w:p w:rsidR="003F5FEE" w:rsidRPr="00901DB0" w:rsidRDefault="003F5FEE" w:rsidP="00901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</w:p>
                          <w:p w:rsidR="00901DB0" w:rsidRPr="00901DB0" w:rsidRDefault="00901DB0" w:rsidP="0090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7865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-34.75pt;margin-top:241.85pt;width:595.5pt;height:4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" fillcolor="white [3201]" strokecolor="white [3212]" strokeweight=".5pt">
                <v:textbox>
                  <w:txbxContent>
                    <w:p w:rsidR="003F5FEE" w:rsidRPr="003F5FEE" w:rsidRDefault="003F5FEE" w:rsidP="003F5F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18"/>
                        </w:rPr>
                      </w:pPr>
                    </w:p>
                    <w:p w:rsidR="003F5FEE" w:rsidRP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  <w:t xml:space="preserve">İDARİ VE MALİ İŞLER </w:t>
                      </w:r>
                    </w:p>
                    <w:p w:rsidR="003F5FEE" w:rsidRP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  <w:t>DAİRE BAŞKANLIĞI</w:t>
                      </w:r>
                    </w:p>
                    <w:p w:rsid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</w:p>
                    <w:p w:rsidR="003F5FEE" w:rsidRP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</w:p>
                    <w:p w:rsidR="003F5FEE" w:rsidRP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  <w:t>RİSK DEĞERLENDİRMESİ</w:t>
                      </w:r>
                    </w:p>
                    <w:p w:rsidR="003F5FEE" w:rsidRP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  <w:t>DÖKÜMANI</w:t>
                      </w:r>
                    </w:p>
                    <w:p w:rsid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3F5FEE" w:rsidRP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18"/>
                        </w:rPr>
                        <w:t>2022</w:t>
                      </w:r>
                    </w:p>
                    <w:p w:rsidR="003F5FEE" w:rsidRPr="003F5FEE" w:rsidRDefault="003F5FEE" w:rsidP="003F5FEE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72"/>
                          <w:szCs w:val="18"/>
                        </w:rPr>
                      </w:pPr>
                    </w:p>
                    <w:p w:rsidR="003F5FEE" w:rsidRPr="00901DB0" w:rsidRDefault="003F5FEE" w:rsidP="00901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</w:p>
                    <w:p w:rsidR="00901DB0" w:rsidRPr="00901DB0" w:rsidRDefault="00901DB0" w:rsidP="00901D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8D0" w:rsidRDefault="006848D0" w:rsidP="009A1568">
      <w:pPr>
        <w:spacing w:after="0"/>
      </w:pPr>
      <w:r>
        <w:lastRenderedPageBreak/>
        <w:fldChar w:fldCharType="begin"/>
      </w:r>
      <w:r>
        <w:instrText xml:space="preserve"> LINK </w:instrText>
      </w:r>
      <w:r w:rsidR="00544D2C">
        <w:instrText xml:space="preserve">Excel.Sheet.12 "C:\\Users\\user\\Desktop\\SEMRA DOSYALAR\\RD\\İSGB+MARPAM+Risk Değerlendirme Formu.xlsx" Risk_Deg_Formu!R2C1:R5C29 </w:instrText>
      </w:r>
      <w:r>
        <w:instrText xml:space="preserve">\a \f 5 \h  \* MERGEFORMAT </w:instrText>
      </w:r>
      <w:r w:rsidR="00544D2C">
        <w:fldChar w:fldCharType="separate"/>
      </w:r>
      <w:r>
        <w:fldChar w:fldCharType="end"/>
      </w:r>
    </w:p>
    <w:tbl>
      <w:tblPr>
        <w:tblStyle w:val="TabloKlavuzu1"/>
        <w:tblW w:w="15309" w:type="dxa"/>
        <w:tblInd w:w="108" w:type="dxa"/>
        <w:tblLook w:val="04A0" w:firstRow="1" w:lastRow="0" w:firstColumn="1" w:lastColumn="0" w:noHBand="0" w:noVBand="1"/>
      </w:tblPr>
      <w:tblGrid>
        <w:gridCol w:w="3261"/>
        <w:gridCol w:w="12048"/>
      </w:tblGrid>
      <w:tr w:rsidR="002536DD" w:rsidRPr="00521B5F" w:rsidTr="00D22D71">
        <w:trPr>
          <w:trHeight w:val="416"/>
        </w:trPr>
        <w:tc>
          <w:tcPr>
            <w:tcW w:w="3261" w:type="dxa"/>
            <w:noWrap/>
            <w:vAlign w:val="center"/>
            <w:hideMark/>
          </w:tcPr>
          <w:p w:rsidR="002536DD" w:rsidRPr="00521B5F" w:rsidRDefault="002536DD" w:rsidP="00881E99">
            <w:pPr>
              <w:rPr>
                <w:b/>
                <w:bCs/>
              </w:rPr>
            </w:pPr>
            <w:bookmarkStart w:id="1" w:name="_Hlk89775472"/>
            <w:r w:rsidRPr="00521B5F">
              <w:rPr>
                <w:b/>
                <w:bCs/>
              </w:rPr>
              <w:t>Birim/Bölüm Adı:</w:t>
            </w:r>
          </w:p>
        </w:tc>
        <w:tc>
          <w:tcPr>
            <w:tcW w:w="12048" w:type="dxa"/>
            <w:noWrap/>
            <w:vAlign w:val="center"/>
            <w:hideMark/>
          </w:tcPr>
          <w:p w:rsidR="002536DD" w:rsidRPr="00521B5F" w:rsidRDefault="002536DD" w:rsidP="00881E99">
            <w:r>
              <w:t>BOYA</w:t>
            </w:r>
            <w:r w:rsidRPr="00521B5F">
              <w:t xml:space="preserve"> </w:t>
            </w:r>
            <w:r>
              <w:t>İŞLERİ</w:t>
            </w:r>
          </w:p>
        </w:tc>
      </w:tr>
      <w:tr w:rsidR="002536DD" w:rsidRPr="00521B5F" w:rsidTr="00D22D71">
        <w:trPr>
          <w:trHeight w:val="426"/>
        </w:trPr>
        <w:tc>
          <w:tcPr>
            <w:tcW w:w="3261" w:type="dxa"/>
            <w:vAlign w:val="center"/>
            <w:hideMark/>
          </w:tcPr>
          <w:p w:rsidR="002536DD" w:rsidRPr="00521B5F" w:rsidRDefault="002536DD" w:rsidP="00881E99">
            <w:pPr>
              <w:rPr>
                <w:b/>
                <w:bCs/>
              </w:rPr>
            </w:pPr>
            <w:proofErr w:type="spellStart"/>
            <w:r w:rsidRPr="00521B5F">
              <w:rPr>
                <w:b/>
                <w:bCs/>
              </w:rPr>
              <w:t>Nace</w:t>
            </w:r>
            <w:proofErr w:type="spellEnd"/>
            <w:r w:rsidRPr="00521B5F">
              <w:rPr>
                <w:b/>
                <w:bCs/>
              </w:rPr>
              <w:t xml:space="preserve"> Kodu/Tehlike Sınıfı:</w:t>
            </w:r>
          </w:p>
        </w:tc>
        <w:tc>
          <w:tcPr>
            <w:tcW w:w="12048" w:type="dxa"/>
            <w:noWrap/>
            <w:vAlign w:val="center"/>
            <w:hideMark/>
          </w:tcPr>
          <w:p w:rsidR="002536DD" w:rsidRPr="00521B5F" w:rsidRDefault="002536DD" w:rsidP="00881E99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 xml:space="preserve">                                                                                                             YAPILIŞ </w:t>
            </w:r>
            <w:proofErr w:type="gramStart"/>
            <w:r w:rsidRPr="00521B5F">
              <w:rPr>
                <w:b/>
                <w:bCs/>
              </w:rPr>
              <w:t>TARİHİ:</w:t>
            </w:r>
            <w:r w:rsidRPr="00521B5F">
              <w:t xml:space="preserve">   </w:t>
            </w:r>
            <w:proofErr w:type="gramEnd"/>
            <w:r w:rsidRPr="00521B5F">
              <w:t xml:space="preserve">               </w:t>
            </w:r>
            <w:r w:rsidRPr="00521B5F">
              <w:rPr>
                <w:b/>
                <w:bCs/>
              </w:rPr>
              <w:t xml:space="preserve"> GEÇERLİLİK TARİHİ:</w:t>
            </w:r>
          </w:p>
        </w:tc>
      </w:tr>
      <w:tr w:rsidR="002536DD" w:rsidRPr="00521B5F" w:rsidTr="00D22D71">
        <w:trPr>
          <w:trHeight w:val="417"/>
        </w:trPr>
        <w:tc>
          <w:tcPr>
            <w:tcW w:w="3261" w:type="dxa"/>
            <w:noWrap/>
            <w:vAlign w:val="center"/>
            <w:hideMark/>
          </w:tcPr>
          <w:p w:rsidR="002536DD" w:rsidRPr="00521B5F" w:rsidRDefault="002536DD" w:rsidP="00881E99">
            <w:pPr>
              <w:tabs>
                <w:tab w:val="right" w:pos="3153"/>
              </w:tabs>
              <w:rPr>
                <w:b/>
                <w:bCs/>
              </w:rPr>
            </w:pPr>
            <w:r w:rsidRPr="00521B5F">
              <w:rPr>
                <w:b/>
                <w:bCs/>
              </w:rPr>
              <w:t>İletişim Bilgileri:</w:t>
            </w:r>
          </w:p>
        </w:tc>
        <w:tc>
          <w:tcPr>
            <w:tcW w:w="12048" w:type="dxa"/>
            <w:hideMark/>
          </w:tcPr>
          <w:p w:rsidR="002536DD" w:rsidRPr="00521B5F" w:rsidRDefault="002536DD" w:rsidP="00881E99">
            <w:pPr>
              <w:jc w:val="right"/>
            </w:pPr>
            <w:r w:rsidRPr="00521B5F">
              <w:t xml:space="preserve">METOD: </w:t>
            </w:r>
            <w:r>
              <w:t>CHECK LİST</w:t>
            </w:r>
            <w:r w:rsidRPr="00521B5F">
              <w:t xml:space="preserve"> METODU</w:t>
            </w:r>
            <w:r w:rsidRPr="00521B5F">
              <w:br/>
            </w:r>
            <w:r w:rsidRPr="00521B5F">
              <w:br/>
            </w:r>
          </w:p>
        </w:tc>
      </w:tr>
      <w:tr w:rsidR="002536DD" w:rsidRPr="00521B5F" w:rsidTr="00D22D71">
        <w:trPr>
          <w:trHeight w:val="424"/>
        </w:trPr>
        <w:tc>
          <w:tcPr>
            <w:tcW w:w="3261" w:type="dxa"/>
            <w:noWrap/>
            <w:vAlign w:val="center"/>
            <w:hideMark/>
          </w:tcPr>
          <w:p w:rsidR="002536DD" w:rsidRPr="00521B5F" w:rsidRDefault="002536DD" w:rsidP="00881E99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>İşveren / İşveren Vekilinin Adı:</w:t>
            </w:r>
          </w:p>
        </w:tc>
        <w:tc>
          <w:tcPr>
            <w:tcW w:w="12048" w:type="dxa"/>
            <w:noWrap/>
            <w:vAlign w:val="center"/>
            <w:hideMark/>
          </w:tcPr>
          <w:p w:rsidR="002536DD" w:rsidRPr="00521B5F" w:rsidRDefault="002536DD" w:rsidP="00881E99">
            <w:pPr>
              <w:rPr>
                <w:b/>
                <w:bCs/>
              </w:rPr>
            </w:pPr>
          </w:p>
        </w:tc>
      </w:tr>
      <w:tr w:rsidR="002536DD" w:rsidRPr="00521B5F" w:rsidTr="00D22D71">
        <w:trPr>
          <w:trHeight w:val="498"/>
        </w:trPr>
        <w:tc>
          <w:tcPr>
            <w:tcW w:w="3261" w:type="dxa"/>
            <w:noWrap/>
            <w:vAlign w:val="center"/>
          </w:tcPr>
          <w:p w:rsidR="002536DD" w:rsidRPr="00521B5F" w:rsidRDefault="002536DD" w:rsidP="00881E99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>Risk Değerlendirmesi Ekipleri:</w:t>
            </w:r>
          </w:p>
        </w:tc>
        <w:tc>
          <w:tcPr>
            <w:tcW w:w="12048" w:type="dxa"/>
            <w:noWrap/>
            <w:vAlign w:val="center"/>
          </w:tcPr>
          <w:p w:rsidR="002536DD" w:rsidRPr="00521B5F" w:rsidRDefault="002536DD" w:rsidP="00881E99">
            <w:pPr>
              <w:rPr>
                <w:b/>
                <w:bCs/>
              </w:rPr>
            </w:pPr>
          </w:p>
        </w:tc>
      </w:tr>
    </w:tbl>
    <w:tbl>
      <w:tblPr>
        <w:tblStyle w:val="TabloKlavuzu"/>
        <w:tblW w:w="15414" w:type="dxa"/>
        <w:jc w:val="center"/>
        <w:tblLayout w:type="fixed"/>
        <w:tblLook w:val="04A0" w:firstRow="1" w:lastRow="0" w:firstColumn="1" w:lastColumn="0" w:noHBand="0" w:noVBand="1"/>
      </w:tblPr>
      <w:tblGrid>
        <w:gridCol w:w="2150"/>
        <w:gridCol w:w="4608"/>
        <w:gridCol w:w="755"/>
        <w:gridCol w:w="756"/>
        <w:gridCol w:w="3131"/>
        <w:gridCol w:w="2150"/>
        <w:gridCol w:w="1864"/>
      </w:tblGrid>
      <w:tr w:rsidR="002536DD" w:rsidTr="006848D0">
        <w:trPr>
          <w:tblHeader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1"/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6DD" w:rsidRPr="00A37561" w:rsidRDefault="002536DD" w:rsidP="002536DD">
            <w:pPr>
              <w:jc w:val="center"/>
              <w:rPr>
                <w:b/>
              </w:rPr>
            </w:pPr>
            <w:r w:rsidRPr="00A37561">
              <w:rPr>
                <w:b/>
              </w:rPr>
              <w:t>Kontrol Listesi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6DD" w:rsidRDefault="002536DD" w:rsidP="002536D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2536DD" w:rsidRDefault="002536DD" w:rsidP="002536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6DD" w:rsidRDefault="002536DD" w:rsidP="002536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2536DD" w:rsidRDefault="002536DD" w:rsidP="002536DD">
            <w:pPr>
              <w:jc w:val="center"/>
              <w:rPr>
                <w:b/>
                <w:szCs w:val="56"/>
              </w:rPr>
            </w:pPr>
            <w:r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Alınması Gereken Önlemler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Tamamlanacağı Tarih</w:t>
            </w: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Pr="002615E7" w:rsidRDefault="002536DD" w:rsidP="002536D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</w:rPr>
              <w:t>GENEL</w:t>
            </w:r>
            <w:r>
              <w:rPr>
                <w:b/>
                <w:bCs/>
                <w:color w:val="000000"/>
                <w:lang w:eastAsia="tr-TR"/>
              </w:rPr>
              <w:t>&amp;</w:t>
            </w:r>
          </w:p>
          <w:p w:rsidR="002536DD" w:rsidRDefault="002536DD" w:rsidP="002536DD">
            <w:pPr>
              <w:jc w:val="center"/>
              <w:rPr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Zemin, kayma veya düşmeyi önleyecek şekilde tasarlanmış ve iç ve dış zeminler düzenli olarak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Zeminde çökme, erime vb. deformasyonlar bulunması halinde bunlar derhal düzeltiliyor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sırasında kullanılan yer sergileri nedeniyle kaygan hale gelen zeminlerde önlem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Bütün alanlar iyi aydınlatılmış, pencere alanı yeterince büyük ve doğal aydınlatmadan yeterince faydalanılıyor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Çalışılan ortamlarda temiz hava akımı bulunuyor ve tüm alanlar düzenli olarak havalandırılıyor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Tüm alanlardaki mevcut iklimlendirme cihazlarının kontrolleri düzenli aralıklarla yaptırılıyor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ortamı sıcaklığının çok soğuk ya da çok sıcak olması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 yeme-içme, barınma gibi temel ihtiyaçları için uygun donanımlı alanlar ayrılmış mı?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İşyerinin temizliği düzenli olarak yapılıyor ve çalışma ortamında, hijyen açısından gerekli şartlar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Toz veya malzeme artıklarının yerlerde veya taban kenarlarında birikmesi önleniyor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682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989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Çalışılan alanda, çalışanların takılarak/kayarak düşebileceği ya da çarpabileceği nesnelerin bulunmamasına özen gösteriliyor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1273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sırasında, çalışanların kullanımı için uygun yüz ve göz koruyucular ile uygun iş eldivenleri temin ediliyor ve çalışanların bunları kullanımları denetleniyor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696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boya yapılan alanda sigara içilmemeleri konusunda talimat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alanında olası bir yangın riskine karşı yangın söndürücü ekipman bulunduruluyor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1115"/>
          <w:jc w:val="center"/>
        </w:trPr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KAYMA/DÜŞME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 iskele, merdiven, kaldırma platformları gibi yüksek yerlerde çalışırken düşme riskine karşı gerekli tedbirler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1259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Çalışanların, fazlaca yukarıya uzanmalarını gerektirecek yerlerde rahat çalışmalarını sağlamak üzere uygun/ayarlanabilir yükseklikte merdivenler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993"/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Yüksek yerlerde boya yapan çalışanlar için emniyet kemerleri sağlanıyor ve çalışanların bu kemerleri kullanma durumları izleniyor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777"/>
          <w:jc w:val="center"/>
        </w:trPr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CİSİM DÜŞMESİ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Çalışanların, yüksek yerlere yerleştirilen düşmesi engellenmemiş ya da sabitlenmemiş nesnelerin altında çalışması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286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Yüksek yerlere yerleştirilen nesneler, düşmeyi önleyecek şekilde yeterince sabitlenmiş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trHeight w:val="70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Çalışanların, çalışma sırasında baret gibi kafa koruyucuları kullanmaları sağlanıyor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KAPALI ALANLAR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Boya yapılacak kapalı ortamda, gaz veya gaza sebep olabilecek bir kaynak bulunup bulunmadığı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Boya yapılan alanının yakınında herhangi bir ısıl işlem yapılıp yapılmadığı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Kapalı alanda yapılan çalışmalar sırasında yeterli havalandırma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sırasında, boya kutularının kapaklarının açık bırakılmamasına ve tinerin ortada bırakılmamasına özen gösteriliyor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DIŞ ORTAMDA ÇALIŞMA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Aşırı sıcak ya da aşırı soğuk hava, yağmur, rahatsız edici esintiler gibi hava koşullarına </w:t>
            </w:r>
            <w:proofErr w:type="spellStart"/>
            <w:r w:rsidRPr="00B2126A">
              <w:rPr>
                <w:rFonts w:cstheme="minorHAnsi"/>
              </w:rPr>
              <w:t>maruziyetin</w:t>
            </w:r>
            <w:proofErr w:type="spellEnd"/>
            <w:r w:rsidRPr="00B2126A">
              <w:rPr>
                <w:rFonts w:cstheme="minorHAnsi"/>
              </w:rPr>
              <w:t xml:space="preserve"> çalışanlar üzerindeki olumsuz etkisini azaltacak önlemler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MAKİNELER, EL ALETLERİ VE EKİPMANLAR</w:t>
            </w:r>
          </w:p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Makinelerin hareketli, dönen parçaları, makine koruyucular ile koruma altına alınmış mı?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Kesici veya delici nitelikteki alet veya ekipmanların açıkta bulundurulması engelleniyor ve koruyucu içerisinde muhafaza edilmesi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Kesici veya delici alet veya ekipmanlar uygun aralıklarla, kullanım öncesi ve sonrasında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Tüm alet veya ekipmanların tasarım amaçlarına uygun yönde kullanılması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>
              <w:rPr>
                <w:rFonts w:cstheme="minorHAnsi"/>
              </w:rPr>
              <w:t>Tüm alet ve gereçlerin kullanımında gerekli hijyen şartları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Makinelerin çalışanlar tarafından kazara çalıştırılmasını önleyecek tertibat ile acil durdurma butonu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Makine ve ekipmanların doğru kullanımı, bakımı ve benzeri konularda rehberlik edecek Türkçe kullanma kılavuzları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Makine ve ekipmanların, imalatçının talimatları doğrultusunda bakımları ve denetimleri yapılıyor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Çalışanlara, bıçak, dolgu bıçağı ve </w:t>
            </w:r>
            <w:proofErr w:type="spellStart"/>
            <w:r w:rsidRPr="00B2126A">
              <w:rPr>
                <w:rFonts w:cstheme="minorHAnsi"/>
              </w:rPr>
              <w:t>spatula</w:t>
            </w:r>
            <w:proofErr w:type="spellEnd"/>
            <w:r w:rsidRPr="00B2126A">
              <w:rPr>
                <w:rFonts w:cstheme="minorHAnsi"/>
              </w:rPr>
              <w:t xml:space="preserve"> gibi keskin nesne ya da araçlarla çalışırken veya rendeleme, düzleme, (testere ile) doğrama, kesme ve benzeri işlerde kullanılan aletlerle çalışırken dikkatli davranmaları konusunda gerekli ve yeterli talimatlar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İskele ve merdiven gibi ekipmanların kurulumu, doğru kullanımı, bakımı ve benzeri konularda çalışanlara yeterli talimatlar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Kullanılan kablolu aletlerin takılma veya düşmeyi önleyecek şekilde kullanılmasına özen gösteriliyor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Elektrikli ekipmanların ıslak ortam, su ve kimyasal içerikli ürünler ile temas ettirilmesi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KİMYASALLAR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Çalışma sırasında kullanılan boyalar, incelticiler de dahil tüm kimyasalların üzerinde uygulama yöntemi, kullanılacak koruyucu ekipman ve </w:t>
            </w:r>
            <w:r w:rsidRPr="00B2126A">
              <w:rPr>
                <w:rFonts w:cstheme="minorHAnsi"/>
              </w:rPr>
              <w:lastRenderedPageBreak/>
              <w:t>zararlarını gösteren etiketler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Çalışanlara, kimyasalların üzerinde yer alan etiketlerdeki hususlara uygun olarak çalışmaları konusunda talimat veriliyor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Çalışanların, tehlikeli kimyasalların güvenli kullanımına yönelik talimatları almaksızın bu malzemeler ile çalışmaları engelleniyor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Çalışılan ortamda ortaya çıkabilecek patlama, yangın, ya da zehirlenme tehlikesi bulunan durumlara karşı tedbir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sprey boyalar gibi kimyasalları kullanırken bu kimyasalların sağlık risklerini artıracak çalışma biçimlerinden kaçınmaları konusunda yeterli talimat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Kimyasallara temas etmiş bez parçaları vb. atıkların yerlere atılmayıp uygun bir şekilde ortamdan uzaklaştırılması konusunda çalışanlar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Kimyasallar ile yapılan çalışmalar sırasında gerekli kişisel koruyucu donanımların kullanımı konusunda çalışanlara talimat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 uzun süre aynı pozisyonda veya fiziksel anlamda zorlayıcı çalışmaları (ağır yük kaldırma dahil)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Çalışanların, işlerini yaparken çok uzak mesafelere uzanmak zorunda kalmaları </w:t>
            </w:r>
            <w:r w:rsidRPr="00B2126A">
              <w:rPr>
                <w:rFonts w:cstheme="minorHAnsi"/>
              </w:rPr>
              <w:lastRenderedPageBreak/>
              <w:t>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Ağır yüklerin uygunsuz şekilde kaldırılmasını, itilmesini ya da çekilmesini önleyecek bir kaldırma tertibatı veya taşıma araçları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 uygun ve kaymaz ayakkabılar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PSİKOSOSYAL ETKENLER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ile işveren(</w:t>
            </w:r>
            <w:proofErr w:type="spellStart"/>
            <w:r w:rsidRPr="00B2126A">
              <w:rPr>
                <w:rFonts w:cstheme="minorHAnsi"/>
              </w:rPr>
              <w:t>ler</w:t>
            </w:r>
            <w:proofErr w:type="spellEnd"/>
            <w:r w:rsidRPr="00B2126A">
              <w:rPr>
                <w:rFonts w:cstheme="minorHAnsi"/>
              </w:rPr>
              <w:t>) arasında iyi bir iletişim sürdürülüyor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işlerini güvenli bir şekilde yapmaları için yeterli zaman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 işe giriş ve periyodik kontrolleri yaptırılıyor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İş kazaları ve meslek hastalıkları vakaları 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Daha önce meydana gelmiş kazalar incelenerek kayıt altına alınıyor, tehlike kaynakları tespit edilerek ileride benzer kazalar ile karşılaşmamak için gerekli önlemler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  <w:r>
              <w:rPr>
                <w:b/>
              </w:rPr>
              <w:t xml:space="preserve">EĞİTİM VE BİLGİLENDİRME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iş sağlığı ve güvenliği konusunda eğitim almış mı?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yaptıkları işle ilgili olarak gerekli eğitim ve bilgiye sahip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 tehlikeli kimyasallarla çalışma </w:t>
            </w:r>
            <w:r w:rsidRPr="00B2126A">
              <w:rPr>
                <w:rFonts w:cstheme="minorHAnsi"/>
              </w:rPr>
              <w:lastRenderedPageBreak/>
              <w:t>sırasında maruz kalabileceği riskler ve kimyasallar ile güvenli çalışma konusunda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Çalışanlar, elde veya parmaklarda kalan boyaların tiner/benzin vb. tehlikeli kimyasallar ile çıkarılmaması konusunda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kesilme, batma, yanma vb. nedenler ile oluşan yaralara hangi durumda ve kim tarafından müdahale edileceği konusunda bilgilendirilmiş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kullandıkları makine, araç, gereç ve ekipmanların güvenli kullanımı konusunda eğitilmiş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  <w:tr w:rsidR="002536DD" w:rsidRPr="00B2126A" w:rsidTr="006848D0">
        <w:trPr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Default="002536DD" w:rsidP="002536DD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Eğitim ve bilgilendirme ile ilgili belgeler kayıt altına alınmakta ve kayıtlar uygun şekilde muhafaza edilmekte midir?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D" w:rsidRPr="00B2126A" w:rsidRDefault="002536DD" w:rsidP="002536DD">
            <w:pPr>
              <w:rPr>
                <w:rFonts w:cstheme="minorHAnsi"/>
              </w:rPr>
            </w:pPr>
          </w:p>
        </w:tc>
      </w:tr>
    </w:tbl>
    <w:p w:rsidR="00B2126A" w:rsidRDefault="00B2126A" w:rsidP="009A1568">
      <w:pPr>
        <w:spacing w:after="0"/>
      </w:pPr>
    </w:p>
    <w:p w:rsidR="00A772EF" w:rsidRDefault="00A772EF" w:rsidP="00A772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 xml:space="preserve">Bu kontrol listesi, 6331 sayılı Kanunun “İşverenin genel yükümlülüğü” başlıklı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4 üncü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maddesi birinci fıkrasının (c) bendi uyarınca işverenlerin yapmak/yaptırmak ile yükümlü oldukları risk değerlendirmesi</w:t>
      </w:r>
    </w:p>
    <w:p w:rsidR="00A772EF" w:rsidRDefault="00A772EF" w:rsidP="00A772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6848D0" w:rsidRDefault="006848D0" w:rsidP="00A772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48D0" w:rsidRDefault="006848D0" w:rsidP="00A772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48D0" w:rsidRDefault="006848D0" w:rsidP="006848D0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  <w:r w:rsidRPr="006848D0">
        <w:rPr>
          <w:rFonts w:cstheme="minorHAnsi"/>
          <w:b/>
          <w:sz w:val="24"/>
          <w:szCs w:val="18"/>
        </w:rPr>
        <w:t>RİSK DEĞERLENDİRMESİ EKİBİ</w:t>
      </w:r>
    </w:p>
    <w:p w:rsidR="006848D0" w:rsidRPr="006848D0" w:rsidRDefault="006848D0" w:rsidP="006848D0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</w:p>
    <w:tbl>
      <w:tblPr>
        <w:tblStyle w:val="TabloKlavuzu"/>
        <w:tblW w:w="15656" w:type="dxa"/>
        <w:tblInd w:w="-431" w:type="dxa"/>
        <w:tblLook w:val="04A0" w:firstRow="1" w:lastRow="0" w:firstColumn="1" w:lastColumn="0" w:noHBand="0" w:noVBand="1"/>
      </w:tblPr>
      <w:tblGrid>
        <w:gridCol w:w="4045"/>
        <w:gridCol w:w="4286"/>
        <w:gridCol w:w="4290"/>
        <w:gridCol w:w="3035"/>
      </w:tblGrid>
      <w:tr w:rsidR="006848D0" w:rsidTr="006848D0">
        <w:trPr>
          <w:trHeight w:val="1244"/>
        </w:trPr>
        <w:tc>
          <w:tcPr>
            <w:tcW w:w="4045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86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90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İş Yeri Hekimi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3035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6848D0" w:rsidTr="006848D0">
        <w:trPr>
          <w:trHeight w:val="1744"/>
        </w:trPr>
        <w:tc>
          <w:tcPr>
            <w:tcW w:w="4045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Sivil Savunma Uzmanı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86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Çalışan Temsilcisi (Baş Temsilci)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Çalışan Temsilcisi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3035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Çalışan Temsilcisi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6848D0" w:rsidTr="006848D0">
        <w:trPr>
          <w:trHeight w:val="1768"/>
        </w:trPr>
        <w:tc>
          <w:tcPr>
            <w:tcW w:w="4045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Üye</w:t>
            </w:r>
          </w:p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90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35" w:type="dxa"/>
          </w:tcPr>
          <w:p w:rsidR="006848D0" w:rsidRPr="006848D0" w:rsidRDefault="006848D0" w:rsidP="0068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41" w:rsidRDefault="00A16F41" w:rsidP="00BD510D">
      <w:pPr>
        <w:spacing w:after="0" w:line="240" w:lineRule="auto"/>
      </w:pPr>
      <w:r>
        <w:separator/>
      </w:r>
    </w:p>
  </w:endnote>
  <w:endnote w:type="continuationSeparator" w:id="0">
    <w:p w:rsidR="00A16F41" w:rsidRDefault="00A16F41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42314"/>
      <w:docPartObj>
        <w:docPartGallery w:val="Page Numbers (Bottom of Page)"/>
        <w:docPartUnique/>
      </w:docPartObj>
    </w:sdtPr>
    <w:sdtEndPr/>
    <w:sdtContent>
      <w:p w:rsidR="004B0B4F" w:rsidRDefault="004B0B4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E968F8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B2126A">
          <w:rPr>
            <w:b/>
            <w:sz w:val="16"/>
          </w:rPr>
          <w:t>7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41" w:rsidRDefault="00A16F41" w:rsidP="00BD510D">
      <w:pPr>
        <w:spacing w:after="0" w:line="240" w:lineRule="auto"/>
      </w:pPr>
      <w:r>
        <w:separator/>
      </w:r>
    </w:p>
  </w:footnote>
  <w:footnote w:type="continuationSeparator" w:id="0">
    <w:p w:rsidR="00A16F41" w:rsidRDefault="00A16F41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FEE" w:rsidRDefault="003F5F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4F" w:rsidRDefault="004B0B4F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F285A10" wp14:editId="1A13BF9A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B4F" w:rsidRPr="001C0D37" w:rsidRDefault="004B0B4F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85A1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4B0B4F" w:rsidRPr="001C0D37" w:rsidRDefault="004B0B4F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2DF246A" wp14:editId="5584E58D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FEE" w:rsidRDefault="003F5F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A2F63704"/>
    <w:lvl w:ilvl="0" w:tplc="FDF8C0F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66"/>
    <w:rsid w:val="00015A5A"/>
    <w:rsid w:val="00060728"/>
    <w:rsid w:val="00072120"/>
    <w:rsid w:val="00073229"/>
    <w:rsid w:val="00092838"/>
    <w:rsid w:val="000A1F66"/>
    <w:rsid w:val="000E0B3B"/>
    <w:rsid w:val="00110C2A"/>
    <w:rsid w:val="00121B0D"/>
    <w:rsid w:val="00122FE0"/>
    <w:rsid w:val="00142C37"/>
    <w:rsid w:val="00142CE1"/>
    <w:rsid w:val="001436D4"/>
    <w:rsid w:val="00154EC3"/>
    <w:rsid w:val="001656E0"/>
    <w:rsid w:val="001701A3"/>
    <w:rsid w:val="00171CB4"/>
    <w:rsid w:val="001759F9"/>
    <w:rsid w:val="0018668B"/>
    <w:rsid w:val="001906DA"/>
    <w:rsid w:val="00190950"/>
    <w:rsid w:val="001A5209"/>
    <w:rsid w:val="001B088E"/>
    <w:rsid w:val="001B5A30"/>
    <w:rsid w:val="001C0D37"/>
    <w:rsid w:val="001C7E94"/>
    <w:rsid w:val="00207AD4"/>
    <w:rsid w:val="002509E9"/>
    <w:rsid w:val="002536DD"/>
    <w:rsid w:val="002605E9"/>
    <w:rsid w:val="002732F0"/>
    <w:rsid w:val="00274B8C"/>
    <w:rsid w:val="0029104F"/>
    <w:rsid w:val="002B11C2"/>
    <w:rsid w:val="002C4497"/>
    <w:rsid w:val="002C6B91"/>
    <w:rsid w:val="00304A66"/>
    <w:rsid w:val="0031057A"/>
    <w:rsid w:val="00321457"/>
    <w:rsid w:val="003320D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5FEE"/>
    <w:rsid w:val="003F6EBC"/>
    <w:rsid w:val="00436517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21B5F"/>
    <w:rsid w:val="00544D2C"/>
    <w:rsid w:val="00552465"/>
    <w:rsid w:val="00562D65"/>
    <w:rsid w:val="005B02B2"/>
    <w:rsid w:val="00650D95"/>
    <w:rsid w:val="00671910"/>
    <w:rsid w:val="00676F46"/>
    <w:rsid w:val="00681363"/>
    <w:rsid w:val="006848D0"/>
    <w:rsid w:val="006A4468"/>
    <w:rsid w:val="006C3D97"/>
    <w:rsid w:val="006C54D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41DF3"/>
    <w:rsid w:val="007443BD"/>
    <w:rsid w:val="007470FE"/>
    <w:rsid w:val="0077021E"/>
    <w:rsid w:val="00776513"/>
    <w:rsid w:val="007F5615"/>
    <w:rsid w:val="007F5B81"/>
    <w:rsid w:val="008063A8"/>
    <w:rsid w:val="00814FD5"/>
    <w:rsid w:val="00820C7E"/>
    <w:rsid w:val="00825661"/>
    <w:rsid w:val="008260F7"/>
    <w:rsid w:val="00863C51"/>
    <w:rsid w:val="00896ECF"/>
    <w:rsid w:val="0089713B"/>
    <w:rsid w:val="008A3920"/>
    <w:rsid w:val="008B7EFC"/>
    <w:rsid w:val="00901DB0"/>
    <w:rsid w:val="00906DE3"/>
    <w:rsid w:val="00951E22"/>
    <w:rsid w:val="009579CE"/>
    <w:rsid w:val="00964090"/>
    <w:rsid w:val="0096653A"/>
    <w:rsid w:val="00971F67"/>
    <w:rsid w:val="00985961"/>
    <w:rsid w:val="00991489"/>
    <w:rsid w:val="0099455B"/>
    <w:rsid w:val="009A1568"/>
    <w:rsid w:val="009A3BA6"/>
    <w:rsid w:val="009A3D86"/>
    <w:rsid w:val="009E6E12"/>
    <w:rsid w:val="009F1D9A"/>
    <w:rsid w:val="009F3C3F"/>
    <w:rsid w:val="00A1151C"/>
    <w:rsid w:val="00A14BA4"/>
    <w:rsid w:val="00A16F41"/>
    <w:rsid w:val="00A22E56"/>
    <w:rsid w:val="00A354A1"/>
    <w:rsid w:val="00A405DA"/>
    <w:rsid w:val="00A67B04"/>
    <w:rsid w:val="00A772EF"/>
    <w:rsid w:val="00AB17FC"/>
    <w:rsid w:val="00AE028D"/>
    <w:rsid w:val="00AE6C1E"/>
    <w:rsid w:val="00B14E73"/>
    <w:rsid w:val="00B16B3A"/>
    <w:rsid w:val="00B2126A"/>
    <w:rsid w:val="00B24210"/>
    <w:rsid w:val="00B270DB"/>
    <w:rsid w:val="00B52D2D"/>
    <w:rsid w:val="00B74256"/>
    <w:rsid w:val="00B75089"/>
    <w:rsid w:val="00B7688C"/>
    <w:rsid w:val="00B82D9A"/>
    <w:rsid w:val="00B9100A"/>
    <w:rsid w:val="00B946ED"/>
    <w:rsid w:val="00BB5E6C"/>
    <w:rsid w:val="00BB7B3F"/>
    <w:rsid w:val="00BD510D"/>
    <w:rsid w:val="00BE5E0F"/>
    <w:rsid w:val="00BF1D89"/>
    <w:rsid w:val="00BF2998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A01E3"/>
    <w:rsid w:val="00CD4404"/>
    <w:rsid w:val="00D15381"/>
    <w:rsid w:val="00D22AEC"/>
    <w:rsid w:val="00D22B80"/>
    <w:rsid w:val="00D22D71"/>
    <w:rsid w:val="00D23903"/>
    <w:rsid w:val="00D44151"/>
    <w:rsid w:val="00D4618B"/>
    <w:rsid w:val="00D74174"/>
    <w:rsid w:val="00D827A3"/>
    <w:rsid w:val="00D83181"/>
    <w:rsid w:val="00D95928"/>
    <w:rsid w:val="00DA7111"/>
    <w:rsid w:val="00DB6091"/>
    <w:rsid w:val="00DD0C1D"/>
    <w:rsid w:val="00DF1647"/>
    <w:rsid w:val="00DF35C8"/>
    <w:rsid w:val="00E02B43"/>
    <w:rsid w:val="00E02F69"/>
    <w:rsid w:val="00E078F8"/>
    <w:rsid w:val="00E4599E"/>
    <w:rsid w:val="00E5776C"/>
    <w:rsid w:val="00E62F98"/>
    <w:rsid w:val="00E86A14"/>
    <w:rsid w:val="00E968F8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81771-360E-497B-8FA4-7DD626D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52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7EA6-6423-4421-B64F-FCB586EF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user</cp:lastModifiedBy>
  <cp:revision>19</cp:revision>
  <cp:lastPrinted>2013-02-19T14:53:00Z</cp:lastPrinted>
  <dcterms:created xsi:type="dcterms:W3CDTF">2014-06-24T14:05:00Z</dcterms:created>
  <dcterms:modified xsi:type="dcterms:W3CDTF">2021-12-07T11:14:00Z</dcterms:modified>
</cp:coreProperties>
</file>